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A2" w:rsidRPr="00B507A2" w:rsidRDefault="008D7596" w:rsidP="008D7596">
      <w:pPr>
        <w:widowControl/>
        <w:shd w:val="clear" w:color="auto" w:fill="FFFFFF"/>
        <w:spacing w:line="420" w:lineRule="atLeast"/>
        <w:jc w:val="left"/>
        <w:rPr>
          <w:rFonts w:ascii="Arial" w:eastAsia="宋体" w:hAnsi="Arial" w:cs="Arial"/>
          <w:color w:val="333333"/>
          <w:spacing w:val="8"/>
          <w:kern w:val="0"/>
          <w:sz w:val="26"/>
          <w:szCs w:val="26"/>
        </w:rPr>
      </w:pPr>
      <w:r>
        <w:rPr>
          <w:rFonts w:ascii="Arial" w:eastAsia="宋体" w:hAnsi="Arial" w:cs="Arial"/>
          <w:b/>
          <w:bCs/>
          <w:color w:val="333333"/>
          <w:spacing w:val="8"/>
          <w:kern w:val="0"/>
          <w:sz w:val="26"/>
          <w:szCs w:val="26"/>
        </w:rPr>
        <w:t>附件</w:t>
      </w:r>
      <w:r>
        <w:rPr>
          <w:rFonts w:ascii="Arial" w:eastAsia="宋体" w:hAnsi="Arial" w:cs="Arial" w:hint="eastAsia"/>
          <w:b/>
          <w:bCs/>
          <w:color w:val="333333"/>
          <w:spacing w:val="8"/>
          <w:kern w:val="0"/>
          <w:sz w:val="26"/>
          <w:szCs w:val="26"/>
        </w:rPr>
        <w:t>：</w:t>
      </w:r>
      <w:r w:rsidR="00B507A2" w:rsidRPr="00B507A2">
        <w:rPr>
          <w:rFonts w:ascii="Arial" w:eastAsia="宋体" w:hAnsi="Arial" w:cs="Arial"/>
          <w:b/>
          <w:bCs/>
          <w:color w:val="333333"/>
          <w:spacing w:val="8"/>
          <w:kern w:val="0"/>
          <w:sz w:val="26"/>
          <w:szCs w:val="26"/>
        </w:rPr>
        <w:t>移动物联</w:t>
      </w:r>
      <w:bookmarkStart w:id="0" w:name="_GoBack"/>
      <w:bookmarkEnd w:id="0"/>
      <w:r w:rsidR="00B507A2" w:rsidRPr="00B507A2">
        <w:rPr>
          <w:rFonts w:ascii="Arial" w:eastAsia="宋体" w:hAnsi="Arial" w:cs="Arial"/>
          <w:b/>
          <w:bCs/>
          <w:color w:val="333333"/>
          <w:spacing w:val="8"/>
          <w:kern w:val="0"/>
          <w:sz w:val="26"/>
          <w:szCs w:val="26"/>
        </w:rPr>
        <w:t>网发展指数模型</w:t>
      </w:r>
    </w:p>
    <w:tbl>
      <w:tblPr>
        <w:tblpPr w:leftFromText="180" w:rightFromText="180" w:horzAnchor="margin" w:tblpX="-717" w:tblpY="660"/>
        <w:tblW w:w="9915" w:type="dxa"/>
        <w:shd w:val="clear" w:color="auto" w:fill="FFFFFF"/>
        <w:tblCellMar>
          <w:left w:w="0" w:type="dxa"/>
          <w:right w:w="0" w:type="dxa"/>
        </w:tblCellMar>
        <w:tblLook w:val="04A0" w:firstRow="1" w:lastRow="0" w:firstColumn="1" w:lastColumn="0" w:noHBand="0" w:noVBand="1"/>
      </w:tblPr>
      <w:tblGrid>
        <w:gridCol w:w="701"/>
        <w:gridCol w:w="1134"/>
        <w:gridCol w:w="4394"/>
        <w:gridCol w:w="3686"/>
      </w:tblGrid>
      <w:tr w:rsidR="00B507A2" w:rsidRPr="00B507A2" w:rsidTr="00B507A2">
        <w:trPr>
          <w:trHeight w:val="485"/>
        </w:trPr>
        <w:tc>
          <w:tcPr>
            <w:tcW w:w="701" w:type="dxa"/>
            <w:tcBorders>
              <w:top w:val="single" w:sz="6" w:space="0" w:color="000000"/>
              <w:left w:val="single" w:sz="6" w:space="0" w:color="000000"/>
              <w:bottom w:val="single" w:sz="6" w:space="0" w:color="000000"/>
              <w:right w:val="single" w:sz="6" w:space="0" w:color="000000"/>
            </w:tcBorders>
            <w:shd w:val="clear" w:color="auto" w:fill="4F81BD"/>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color w:val="333333"/>
                <w:spacing w:val="8"/>
                <w:kern w:val="0"/>
                <w:sz w:val="24"/>
                <w:szCs w:val="24"/>
              </w:rPr>
            </w:pPr>
            <w:r w:rsidRPr="00B507A2">
              <w:rPr>
                <w:rFonts w:ascii="微软雅黑" w:eastAsia="微软雅黑" w:hAnsi="微软雅黑" w:cs="宋体" w:hint="eastAsia"/>
                <w:b/>
                <w:bCs/>
                <w:color w:val="FFFFFF"/>
                <w:kern w:val="0"/>
                <w:sz w:val="18"/>
                <w:szCs w:val="18"/>
              </w:rPr>
              <w:t>序号</w:t>
            </w:r>
          </w:p>
        </w:tc>
        <w:tc>
          <w:tcPr>
            <w:tcW w:w="1134" w:type="dxa"/>
            <w:tcBorders>
              <w:top w:val="single" w:sz="6" w:space="0" w:color="000000"/>
              <w:left w:val="nil"/>
              <w:bottom w:val="single" w:sz="6" w:space="0" w:color="000000"/>
              <w:right w:val="single" w:sz="6" w:space="0" w:color="000000"/>
            </w:tcBorders>
            <w:shd w:val="clear" w:color="auto" w:fill="4F81BD"/>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FFFFFF"/>
                <w:kern w:val="0"/>
                <w:sz w:val="18"/>
                <w:szCs w:val="18"/>
              </w:rPr>
              <w:t>指标维度</w:t>
            </w:r>
          </w:p>
        </w:tc>
        <w:tc>
          <w:tcPr>
            <w:tcW w:w="4394" w:type="dxa"/>
            <w:tcBorders>
              <w:top w:val="single" w:sz="6" w:space="0" w:color="000000"/>
              <w:left w:val="nil"/>
              <w:bottom w:val="single" w:sz="6" w:space="0" w:color="000000"/>
              <w:right w:val="single" w:sz="6" w:space="0" w:color="000000"/>
            </w:tcBorders>
            <w:shd w:val="clear" w:color="auto" w:fill="4F81BD"/>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FFFFFF"/>
                <w:kern w:val="0"/>
                <w:sz w:val="18"/>
                <w:szCs w:val="18"/>
              </w:rPr>
              <w:t>二级指标项</w:t>
            </w:r>
          </w:p>
        </w:tc>
        <w:tc>
          <w:tcPr>
            <w:tcW w:w="3686" w:type="dxa"/>
            <w:tcBorders>
              <w:top w:val="single" w:sz="6" w:space="0" w:color="000000"/>
              <w:left w:val="nil"/>
              <w:bottom w:val="single" w:sz="6" w:space="0" w:color="000000"/>
              <w:right w:val="single" w:sz="6" w:space="0" w:color="000000"/>
            </w:tcBorders>
            <w:shd w:val="clear" w:color="auto" w:fill="4F81BD"/>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FFFFFF"/>
                <w:kern w:val="0"/>
                <w:sz w:val="18"/>
                <w:szCs w:val="18"/>
              </w:rPr>
              <w:t>定义</w:t>
            </w:r>
          </w:p>
        </w:tc>
      </w:tr>
      <w:tr w:rsidR="00B507A2" w:rsidRPr="00B507A2" w:rsidTr="00B507A2">
        <w:trPr>
          <w:trHeight w:val="618"/>
        </w:trPr>
        <w:tc>
          <w:tcPr>
            <w:tcW w:w="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1</w:t>
            </w:r>
          </w:p>
        </w:tc>
        <w:tc>
          <w:tcPr>
            <w:tcW w:w="1134"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政策支持</w:t>
            </w:r>
          </w:p>
        </w:tc>
        <w:tc>
          <w:tcPr>
            <w:tcW w:w="43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移动物联网产业发展战略、规划、政策数量</w:t>
            </w:r>
          </w:p>
        </w:tc>
        <w:tc>
          <w:tcPr>
            <w:tcW w:w="368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省级政府部门出台的关于移动物联网产业发展战略、发展规划和发展政策</w:t>
            </w:r>
          </w:p>
        </w:tc>
      </w:tr>
      <w:tr w:rsidR="00B507A2" w:rsidRPr="00B507A2" w:rsidTr="00B507A2">
        <w:trPr>
          <w:trHeight w:val="471"/>
        </w:trPr>
        <w:tc>
          <w:tcPr>
            <w:tcW w:w="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2</w:t>
            </w:r>
          </w:p>
        </w:tc>
        <w:tc>
          <w:tcPr>
            <w:tcW w:w="1134" w:type="dxa"/>
            <w:vMerge/>
            <w:tcBorders>
              <w:top w:val="nil"/>
              <w:left w:val="nil"/>
              <w:bottom w:val="single" w:sz="6" w:space="0" w:color="000000"/>
              <w:right w:val="single" w:sz="6" w:space="0" w:color="000000"/>
            </w:tcBorders>
            <w:shd w:val="clear" w:color="auto" w:fill="FFFFFF"/>
            <w:vAlign w:val="center"/>
            <w:hideMark/>
          </w:tcPr>
          <w:p w:rsidR="00B507A2" w:rsidRPr="00B507A2" w:rsidRDefault="00B507A2" w:rsidP="00B507A2">
            <w:pPr>
              <w:widowControl/>
              <w:rPr>
                <w:rFonts w:ascii="Microsoft YaHei UI" w:eastAsia="Microsoft YaHei UI" w:hAnsi="Microsoft YaHei UI" w:cs="宋体"/>
                <w:color w:val="333333"/>
                <w:spacing w:val="8"/>
                <w:kern w:val="0"/>
                <w:sz w:val="24"/>
                <w:szCs w:val="24"/>
              </w:rPr>
            </w:pPr>
          </w:p>
        </w:tc>
        <w:tc>
          <w:tcPr>
            <w:tcW w:w="43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政府对移动物联网产业投入资金数量</w:t>
            </w:r>
          </w:p>
        </w:tc>
        <w:tc>
          <w:tcPr>
            <w:tcW w:w="368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政府对移动物联网的直接扶持资金（含减税等）与各省GDP的比值</w:t>
            </w:r>
          </w:p>
        </w:tc>
      </w:tr>
      <w:tr w:rsidR="00B507A2" w:rsidRPr="00B507A2" w:rsidTr="00B507A2">
        <w:trPr>
          <w:trHeight w:val="456"/>
        </w:trPr>
        <w:tc>
          <w:tcPr>
            <w:tcW w:w="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3</w:t>
            </w:r>
          </w:p>
        </w:tc>
        <w:tc>
          <w:tcPr>
            <w:tcW w:w="1134" w:type="dxa"/>
            <w:vMerge/>
            <w:tcBorders>
              <w:top w:val="nil"/>
              <w:left w:val="nil"/>
              <w:bottom w:val="single" w:sz="6" w:space="0" w:color="000000"/>
              <w:right w:val="single" w:sz="6" w:space="0" w:color="000000"/>
            </w:tcBorders>
            <w:shd w:val="clear" w:color="auto" w:fill="FFFFFF"/>
            <w:vAlign w:val="center"/>
            <w:hideMark/>
          </w:tcPr>
          <w:p w:rsidR="00B507A2" w:rsidRPr="00B507A2" w:rsidRDefault="00B507A2" w:rsidP="00B507A2">
            <w:pPr>
              <w:widowControl/>
              <w:rPr>
                <w:rFonts w:ascii="Microsoft YaHei UI" w:eastAsia="Microsoft YaHei UI" w:hAnsi="Microsoft YaHei UI" w:cs="宋体"/>
                <w:color w:val="333333"/>
                <w:spacing w:val="8"/>
                <w:kern w:val="0"/>
                <w:sz w:val="24"/>
                <w:szCs w:val="24"/>
              </w:rPr>
            </w:pPr>
          </w:p>
        </w:tc>
        <w:tc>
          <w:tcPr>
            <w:tcW w:w="43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移动物联网应用示范工程数量</w:t>
            </w:r>
          </w:p>
        </w:tc>
        <w:tc>
          <w:tcPr>
            <w:tcW w:w="368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通过省级以上政府认定的示范工程数量</w:t>
            </w:r>
          </w:p>
        </w:tc>
      </w:tr>
      <w:tr w:rsidR="00B507A2" w:rsidRPr="00B507A2" w:rsidTr="00B507A2">
        <w:trPr>
          <w:trHeight w:val="559"/>
        </w:trPr>
        <w:tc>
          <w:tcPr>
            <w:tcW w:w="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4</w:t>
            </w:r>
          </w:p>
        </w:tc>
        <w:tc>
          <w:tcPr>
            <w:tcW w:w="1134"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网络和应用</w:t>
            </w:r>
          </w:p>
        </w:tc>
        <w:tc>
          <w:tcPr>
            <w:tcW w:w="43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移动物联网基站覆盖率</w:t>
            </w:r>
          </w:p>
        </w:tc>
        <w:tc>
          <w:tcPr>
            <w:tcW w:w="368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NB-IoT基站数量/4G基站数量</w:t>
            </w:r>
          </w:p>
        </w:tc>
      </w:tr>
      <w:tr w:rsidR="00B507A2" w:rsidRPr="00B507A2" w:rsidTr="00B507A2">
        <w:trPr>
          <w:trHeight w:val="456"/>
        </w:trPr>
        <w:tc>
          <w:tcPr>
            <w:tcW w:w="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5</w:t>
            </w:r>
          </w:p>
        </w:tc>
        <w:tc>
          <w:tcPr>
            <w:tcW w:w="1134" w:type="dxa"/>
            <w:vMerge/>
            <w:tcBorders>
              <w:top w:val="nil"/>
              <w:left w:val="nil"/>
              <w:bottom w:val="single" w:sz="6" w:space="0" w:color="000000"/>
              <w:right w:val="single" w:sz="6" w:space="0" w:color="000000"/>
            </w:tcBorders>
            <w:shd w:val="clear" w:color="auto" w:fill="FFFFFF"/>
            <w:vAlign w:val="center"/>
            <w:hideMark/>
          </w:tcPr>
          <w:p w:rsidR="00B507A2" w:rsidRPr="00B507A2" w:rsidRDefault="00B507A2" w:rsidP="00B507A2">
            <w:pPr>
              <w:widowControl/>
              <w:rPr>
                <w:rFonts w:ascii="Microsoft YaHei UI" w:eastAsia="Microsoft YaHei UI" w:hAnsi="Microsoft YaHei UI" w:cs="宋体"/>
                <w:color w:val="333333"/>
                <w:spacing w:val="8"/>
                <w:kern w:val="0"/>
                <w:sz w:val="24"/>
                <w:szCs w:val="24"/>
              </w:rPr>
            </w:pPr>
          </w:p>
        </w:tc>
        <w:tc>
          <w:tcPr>
            <w:tcW w:w="43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NB-IoT/4G/5G物联连接数占物联网总连接数比例</w:t>
            </w:r>
          </w:p>
        </w:tc>
        <w:tc>
          <w:tcPr>
            <w:tcW w:w="368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NB-IoT/4G/5G物联网连接数之和，与2G/3G/4G/5G/NB全部物联网连接数之和的比例</w:t>
            </w:r>
          </w:p>
        </w:tc>
      </w:tr>
      <w:tr w:rsidR="00B507A2" w:rsidRPr="00B507A2" w:rsidTr="00B507A2">
        <w:trPr>
          <w:trHeight w:val="721"/>
        </w:trPr>
        <w:tc>
          <w:tcPr>
            <w:tcW w:w="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6</w:t>
            </w:r>
          </w:p>
        </w:tc>
        <w:tc>
          <w:tcPr>
            <w:tcW w:w="1134" w:type="dxa"/>
            <w:vMerge/>
            <w:tcBorders>
              <w:top w:val="nil"/>
              <w:left w:val="nil"/>
              <w:bottom w:val="single" w:sz="6" w:space="0" w:color="000000"/>
              <w:right w:val="single" w:sz="6" w:space="0" w:color="000000"/>
            </w:tcBorders>
            <w:shd w:val="clear" w:color="auto" w:fill="FFFFFF"/>
            <w:vAlign w:val="center"/>
            <w:hideMark/>
          </w:tcPr>
          <w:p w:rsidR="00B507A2" w:rsidRPr="00B507A2" w:rsidRDefault="00B507A2" w:rsidP="00B507A2">
            <w:pPr>
              <w:widowControl/>
              <w:rPr>
                <w:rFonts w:ascii="Microsoft YaHei UI" w:eastAsia="Microsoft YaHei UI" w:hAnsi="Microsoft YaHei UI" w:cs="宋体"/>
                <w:color w:val="333333"/>
                <w:spacing w:val="8"/>
                <w:kern w:val="0"/>
                <w:sz w:val="24"/>
                <w:szCs w:val="24"/>
              </w:rPr>
            </w:pPr>
          </w:p>
        </w:tc>
        <w:tc>
          <w:tcPr>
            <w:tcW w:w="43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TOP行业移动物联应用规模部署状况</w:t>
            </w:r>
          </w:p>
        </w:tc>
        <w:tc>
          <w:tcPr>
            <w:tcW w:w="368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超过100万级市场规模数的应用个数</w:t>
            </w:r>
          </w:p>
        </w:tc>
      </w:tr>
      <w:tr w:rsidR="00B507A2" w:rsidRPr="00B507A2" w:rsidTr="00B507A2">
        <w:trPr>
          <w:trHeight w:val="574"/>
        </w:trPr>
        <w:tc>
          <w:tcPr>
            <w:tcW w:w="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8</w:t>
            </w:r>
          </w:p>
        </w:tc>
        <w:tc>
          <w:tcPr>
            <w:tcW w:w="1134"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产业生态</w:t>
            </w:r>
          </w:p>
        </w:tc>
        <w:tc>
          <w:tcPr>
            <w:tcW w:w="43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移动物联网相关企业数量</w:t>
            </w:r>
          </w:p>
        </w:tc>
        <w:tc>
          <w:tcPr>
            <w:tcW w:w="368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提供移动物联网解决方案的企业、移动物联网产业链上下游的企业以及提供移动物联网应用服务的企业数量总和</w:t>
            </w:r>
          </w:p>
        </w:tc>
      </w:tr>
      <w:tr w:rsidR="00B507A2" w:rsidRPr="00B507A2" w:rsidTr="00B507A2">
        <w:trPr>
          <w:trHeight w:val="500"/>
        </w:trPr>
        <w:tc>
          <w:tcPr>
            <w:tcW w:w="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9</w:t>
            </w:r>
          </w:p>
        </w:tc>
        <w:tc>
          <w:tcPr>
            <w:tcW w:w="1134" w:type="dxa"/>
            <w:vMerge/>
            <w:tcBorders>
              <w:top w:val="nil"/>
              <w:left w:val="nil"/>
              <w:bottom w:val="single" w:sz="6" w:space="0" w:color="000000"/>
              <w:right w:val="single" w:sz="6" w:space="0" w:color="000000"/>
            </w:tcBorders>
            <w:shd w:val="clear" w:color="auto" w:fill="FFFFFF"/>
            <w:vAlign w:val="center"/>
            <w:hideMark/>
          </w:tcPr>
          <w:p w:rsidR="00B507A2" w:rsidRPr="00B507A2" w:rsidRDefault="00B507A2" w:rsidP="00B507A2">
            <w:pPr>
              <w:widowControl/>
              <w:rPr>
                <w:rFonts w:ascii="Microsoft YaHei UI" w:eastAsia="Microsoft YaHei UI" w:hAnsi="Microsoft YaHei UI" w:cs="宋体"/>
                <w:color w:val="333333"/>
                <w:spacing w:val="8"/>
                <w:kern w:val="0"/>
                <w:sz w:val="24"/>
                <w:szCs w:val="24"/>
              </w:rPr>
            </w:pPr>
          </w:p>
        </w:tc>
        <w:tc>
          <w:tcPr>
            <w:tcW w:w="43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移动物联网产业产值占比</w:t>
            </w:r>
          </w:p>
        </w:tc>
        <w:tc>
          <w:tcPr>
            <w:tcW w:w="368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移动物联网解决方案企业的产值（产业销售收入）占GDP比例</w:t>
            </w:r>
          </w:p>
        </w:tc>
      </w:tr>
      <w:tr w:rsidR="00B507A2" w:rsidRPr="00B507A2" w:rsidTr="00B507A2">
        <w:trPr>
          <w:trHeight w:val="618"/>
        </w:trPr>
        <w:tc>
          <w:tcPr>
            <w:tcW w:w="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10</w:t>
            </w:r>
          </w:p>
        </w:tc>
        <w:tc>
          <w:tcPr>
            <w:tcW w:w="1134" w:type="dxa"/>
            <w:vMerge/>
            <w:tcBorders>
              <w:top w:val="nil"/>
              <w:left w:val="nil"/>
              <w:bottom w:val="single" w:sz="6" w:space="0" w:color="000000"/>
              <w:right w:val="single" w:sz="6" w:space="0" w:color="000000"/>
            </w:tcBorders>
            <w:shd w:val="clear" w:color="auto" w:fill="FFFFFF"/>
            <w:vAlign w:val="center"/>
            <w:hideMark/>
          </w:tcPr>
          <w:p w:rsidR="00B507A2" w:rsidRPr="00B507A2" w:rsidRDefault="00B507A2" w:rsidP="00B507A2">
            <w:pPr>
              <w:widowControl/>
              <w:rPr>
                <w:rFonts w:ascii="Microsoft YaHei UI" w:eastAsia="Microsoft YaHei UI" w:hAnsi="Microsoft YaHei UI" w:cs="宋体"/>
                <w:color w:val="333333"/>
                <w:spacing w:val="8"/>
                <w:kern w:val="0"/>
                <w:sz w:val="24"/>
                <w:szCs w:val="24"/>
              </w:rPr>
            </w:pPr>
          </w:p>
        </w:tc>
        <w:tc>
          <w:tcPr>
            <w:tcW w:w="43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公共服务平台数量</w:t>
            </w:r>
          </w:p>
        </w:tc>
        <w:tc>
          <w:tcPr>
            <w:tcW w:w="368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提供物联网相关标准提供认证与服务的平台企业机构的数量，含省级创新中心、开放实验室、联盟、协会等</w:t>
            </w:r>
          </w:p>
        </w:tc>
      </w:tr>
      <w:tr w:rsidR="00B507A2" w:rsidRPr="00B507A2" w:rsidTr="00B507A2">
        <w:trPr>
          <w:trHeight w:val="456"/>
        </w:trPr>
        <w:tc>
          <w:tcPr>
            <w:tcW w:w="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11</w:t>
            </w:r>
          </w:p>
        </w:tc>
        <w:tc>
          <w:tcPr>
            <w:tcW w:w="1134"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创新和人才</w:t>
            </w:r>
          </w:p>
        </w:tc>
        <w:tc>
          <w:tcPr>
            <w:tcW w:w="43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相关专利申请及授权数量</w:t>
            </w:r>
          </w:p>
        </w:tc>
        <w:tc>
          <w:tcPr>
            <w:tcW w:w="368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通过我国专利局申请的移动物联网专利数量和授权数量（当前以申请专利数为主，后续以授权专利数为主）</w:t>
            </w:r>
          </w:p>
        </w:tc>
      </w:tr>
      <w:tr w:rsidR="00B507A2" w:rsidRPr="00B507A2" w:rsidTr="00B507A2">
        <w:trPr>
          <w:trHeight w:val="647"/>
        </w:trPr>
        <w:tc>
          <w:tcPr>
            <w:tcW w:w="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12</w:t>
            </w:r>
          </w:p>
        </w:tc>
        <w:tc>
          <w:tcPr>
            <w:tcW w:w="1134" w:type="dxa"/>
            <w:vMerge/>
            <w:tcBorders>
              <w:top w:val="nil"/>
              <w:left w:val="nil"/>
              <w:bottom w:val="single" w:sz="6" w:space="0" w:color="000000"/>
              <w:right w:val="single" w:sz="6" w:space="0" w:color="000000"/>
            </w:tcBorders>
            <w:shd w:val="clear" w:color="auto" w:fill="FFFFFF"/>
            <w:vAlign w:val="center"/>
            <w:hideMark/>
          </w:tcPr>
          <w:p w:rsidR="00B507A2" w:rsidRPr="00B507A2" w:rsidRDefault="00B507A2" w:rsidP="00B507A2">
            <w:pPr>
              <w:widowControl/>
              <w:rPr>
                <w:rFonts w:ascii="Microsoft YaHei UI" w:eastAsia="Microsoft YaHei UI" w:hAnsi="Microsoft YaHei UI" w:cs="宋体"/>
                <w:color w:val="333333"/>
                <w:spacing w:val="8"/>
                <w:kern w:val="0"/>
                <w:sz w:val="24"/>
                <w:szCs w:val="24"/>
              </w:rPr>
            </w:pPr>
          </w:p>
        </w:tc>
        <w:tc>
          <w:tcPr>
            <w:tcW w:w="43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行业应用标准制定数量</w:t>
            </w:r>
          </w:p>
        </w:tc>
        <w:tc>
          <w:tcPr>
            <w:tcW w:w="368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具体指面向垂直行业应用的行标、团标及地方标准，用于衡量移动物联网垂直行业成熟度。（根据负责单位的归属地计算）</w:t>
            </w:r>
          </w:p>
        </w:tc>
      </w:tr>
      <w:tr w:rsidR="00B507A2" w:rsidRPr="00B507A2" w:rsidTr="00B507A2">
        <w:trPr>
          <w:trHeight w:val="647"/>
        </w:trPr>
        <w:tc>
          <w:tcPr>
            <w:tcW w:w="7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spacing w:line="360" w:lineRule="atLeast"/>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b/>
                <w:bCs/>
                <w:color w:val="000000"/>
                <w:kern w:val="0"/>
                <w:sz w:val="18"/>
                <w:szCs w:val="18"/>
              </w:rPr>
              <w:t>13</w:t>
            </w:r>
          </w:p>
        </w:tc>
        <w:tc>
          <w:tcPr>
            <w:tcW w:w="1134" w:type="dxa"/>
            <w:vMerge/>
            <w:tcBorders>
              <w:top w:val="nil"/>
              <w:left w:val="nil"/>
              <w:bottom w:val="single" w:sz="6" w:space="0" w:color="000000"/>
              <w:right w:val="single" w:sz="6" w:space="0" w:color="000000"/>
            </w:tcBorders>
            <w:shd w:val="clear" w:color="auto" w:fill="FFFFFF"/>
            <w:vAlign w:val="center"/>
            <w:hideMark/>
          </w:tcPr>
          <w:p w:rsidR="00B507A2" w:rsidRPr="00B507A2" w:rsidRDefault="00B507A2" w:rsidP="00B507A2">
            <w:pPr>
              <w:widowControl/>
              <w:rPr>
                <w:rFonts w:ascii="Microsoft YaHei UI" w:eastAsia="Microsoft YaHei UI" w:hAnsi="Microsoft YaHei UI" w:cs="宋体"/>
                <w:color w:val="333333"/>
                <w:spacing w:val="8"/>
                <w:kern w:val="0"/>
                <w:sz w:val="24"/>
                <w:szCs w:val="24"/>
              </w:rPr>
            </w:pPr>
          </w:p>
        </w:tc>
        <w:tc>
          <w:tcPr>
            <w:tcW w:w="43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移动物联网专业的高校数量</w:t>
            </w:r>
          </w:p>
        </w:tc>
        <w:tc>
          <w:tcPr>
            <w:tcW w:w="368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B507A2" w:rsidRPr="00B507A2" w:rsidRDefault="00B507A2" w:rsidP="00B507A2">
            <w:pPr>
              <w:widowControl/>
              <w:wordWrap w:val="0"/>
              <w:jc w:val="center"/>
              <w:rPr>
                <w:rFonts w:ascii="Microsoft YaHei UI" w:eastAsia="Microsoft YaHei UI" w:hAnsi="Microsoft YaHei UI" w:cs="宋体" w:hint="eastAsia"/>
                <w:color w:val="333333"/>
                <w:spacing w:val="8"/>
                <w:kern w:val="0"/>
                <w:sz w:val="24"/>
                <w:szCs w:val="24"/>
              </w:rPr>
            </w:pPr>
            <w:r w:rsidRPr="00B507A2">
              <w:rPr>
                <w:rFonts w:ascii="微软雅黑" w:eastAsia="微软雅黑" w:hAnsi="微软雅黑" w:cs="宋体" w:hint="eastAsia"/>
                <w:color w:val="000000"/>
                <w:kern w:val="0"/>
                <w:sz w:val="18"/>
                <w:szCs w:val="18"/>
              </w:rPr>
              <w:t>开设物联网相关专业的高校数量，仅包含通过教育部门可查询的普通高校，包含中央部门办、本科院校和高职（专科）院校</w:t>
            </w:r>
          </w:p>
        </w:tc>
      </w:tr>
    </w:tbl>
    <w:p w:rsidR="00193449" w:rsidRPr="00B507A2" w:rsidRDefault="00193449"/>
    <w:sectPr w:rsidR="00193449" w:rsidRPr="00B507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BC6" w:rsidRDefault="00864BC6" w:rsidP="00B507A2">
      <w:r>
        <w:separator/>
      </w:r>
    </w:p>
  </w:endnote>
  <w:endnote w:type="continuationSeparator" w:id="0">
    <w:p w:rsidR="00864BC6" w:rsidRDefault="00864BC6" w:rsidP="00B5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BC6" w:rsidRDefault="00864BC6" w:rsidP="00B507A2">
      <w:r>
        <w:separator/>
      </w:r>
    </w:p>
  </w:footnote>
  <w:footnote w:type="continuationSeparator" w:id="0">
    <w:p w:rsidR="00864BC6" w:rsidRDefault="00864BC6" w:rsidP="00B50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61"/>
    <w:rsid w:val="00193449"/>
    <w:rsid w:val="00525885"/>
    <w:rsid w:val="00835961"/>
    <w:rsid w:val="00864BC6"/>
    <w:rsid w:val="008D7596"/>
    <w:rsid w:val="00B50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66A87A-6D8D-4125-A813-8AE35683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07A2"/>
    <w:rPr>
      <w:sz w:val="18"/>
      <w:szCs w:val="18"/>
    </w:rPr>
  </w:style>
  <w:style w:type="paragraph" w:styleId="a4">
    <w:name w:val="footer"/>
    <w:basedOn w:val="a"/>
    <w:link w:val="Char0"/>
    <w:uiPriority w:val="99"/>
    <w:unhideWhenUsed/>
    <w:rsid w:val="00B507A2"/>
    <w:pPr>
      <w:tabs>
        <w:tab w:val="center" w:pos="4153"/>
        <w:tab w:val="right" w:pos="8306"/>
      </w:tabs>
      <w:snapToGrid w:val="0"/>
      <w:jc w:val="left"/>
    </w:pPr>
    <w:rPr>
      <w:sz w:val="18"/>
      <w:szCs w:val="18"/>
    </w:rPr>
  </w:style>
  <w:style w:type="character" w:customStyle="1" w:styleId="Char0">
    <w:name w:val="页脚 Char"/>
    <w:basedOn w:val="a0"/>
    <w:link w:val="a4"/>
    <w:uiPriority w:val="99"/>
    <w:rsid w:val="00B507A2"/>
    <w:rPr>
      <w:sz w:val="18"/>
      <w:szCs w:val="18"/>
    </w:rPr>
  </w:style>
  <w:style w:type="paragraph" w:styleId="a5">
    <w:name w:val="Normal (Web)"/>
    <w:basedOn w:val="a"/>
    <w:uiPriority w:val="99"/>
    <w:semiHidden/>
    <w:unhideWhenUsed/>
    <w:rsid w:val="00B507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50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2020-05-12T08:17:00Z</dcterms:created>
  <dcterms:modified xsi:type="dcterms:W3CDTF">2020-05-12T08:19:00Z</dcterms:modified>
</cp:coreProperties>
</file>